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65" w:rsidRDefault="0040743E" w:rsidP="0040743E">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Кривично право у Хамурабијевом законику</w:t>
      </w:r>
    </w:p>
    <w:p w:rsidR="0040743E" w:rsidRDefault="0040743E" w:rsidP="0040743E">
      <w:pPr>
        <w:spacing w:line="240" w:lineRule="auto"/>
        <w:ind w:firstLine="851"/>
        <w:jc w:val="center"/>
        <w:rPr>
          <w:rFonts w:ascii="Times New Roman" w:hAnsi="Times New Roman" w:cs="Times New Roman"/>
          <w:sz w:val="24"/>
          <w:szCs w:val="24"/>
        </w:rPr>
      </w:pPr>
    </w:p>
    <w:p w:rsidR="0040743E" w:rsidRDefault="0040743E" w:rsidP="0040743E">
      <w:pPr>
        <w:spacing w:line="240" w:lineRule="auto"/>
        <w:ind w:firstLine="851"/>
        <w:jc w:val="center"/>
        <w:rPr>
          <w:rFonts w:ascii="Times New Roman" w:hAnsi="Times New Roman" w:cs="Times New Roman"/>
          <w:sz w:val="24"/>
          <w:szCs w:val="24"/>
        </w:rPr>
      </w:pPr>
    </w:p>
    <w:p w:rsidR="0040743E" w:rsidRDefault="008A6BC5" w:rsidP="0040743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Опште одлике кривичног права у Хамурабијевом законику</w:t>
      </w:r>
      <w:r w:rsidR="004E2810">
        <w:rPr>
          <w:rFonts w:ascii="Times New Roman" w:hAnsi="Times New Roman" w:cs="Times New Roman"/>
          <w:sz w:val="24"/>
          <w:szCs w:val="24"/>
        </w:rPr>
        <w:t xml:space="preserve"> су следеће</w:t>
      </w:r>
      <w:r>
        <w:rPr>
          <w:rFonts w:ascii="Times New Roman" w:hAnsi="Times New Roman" w:cs="Times New Roman"/>
          <w:sz w:val="24"/>
          <w:szCs w:val="24"/>
        </w:rPr>
        <w:t>:</w:t>
      </w:r>
    </w:p>
    <w:p w:rsidR="008A6BC5" w:rsidRPr="004E2810" w:rsidRDefault="008A6BC5" w:rsidP="004E2810">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 Ме</w:t>
      </w:r>
      <w:r w:rsidR="004E2810">
        <w:rPr>
          <w:rFonts w:ascii="Times New Roman" w:hAnsi="Times New Roman" w:cs="Times New Roman"/>
          <w:sz w:val="24"/>
          <w:szCs w:val="24"/>
        </w:rPr>
        <w:t>шање обичајноправних правила</w:t>
      </w:r>
      <w:r>
        <w:rPr>
          <w:rFonts w:ascii="Times New Roman" w:hAnsi="Times New Roman" w:cs="Times New Roman"/>
          <w:sz w:val="24"/>
          <w:szCs w:val="24"/>
        </w:rPr>
        <w:t xml:space="preserve"> са но</w:t>
      </w:r>
      <w:r w:rsidR="004E2810">
        <w:rPr>
          <w:rFonts w:ascii="Times New Roman" w:hAnsi="Times New Roman" w:cs="Times New Roman"/>
          <w:sz w:val="24"/>
          <w:szCs w:val="24"/>
        </w:rPr>
        <w:t xml:space="preserve">винама које уводи законодавац – тако нпр. у Законику се могу наћи </w:t>
      </w:r>
      <w:r>
        <w:rPr>
          <w:rFonts w:ascii="Times New Roman" w:hAnsi="Times New Roman" w:cs="Times New Roman"/>
          <w:sz w:val="24"/>
          <w:szCs w:val="24"/>
        </w:rPr>
        <w:t>одредбе којима се пр</w:t>
      </w:r>
      <w:r w:rsidR="004E2810">
        <w:rPr>
          <w:rFonts w:ascii="Times New Roman" w:hAnsi="Times New Roman" w:cs="Times New Roman"/>
          <w:sz w:val="24"/>
          <w:szCs w:val="24"/>
        </w:rPr>
        <w:t>ед</w:t>
      </w:r>
      <w:r>
        <w:rPr>
          <w:rFonts w:ascii="Times New Roman" w:hAnsi="Times New Roman" w:cs="Times New Roman"/>
          <w:sz w:val="24"/>
          <w:szCs w:val="24"/>
        </w:rPr>
        <w:t>виђа кол</w:t>
      </w:r>
      <w:r w:rsidR="004E2810">
        <w:rPr>
          <w:rFonts w:ascii="Times New Roman" w:hAnsi="Times New Roman" w:cs="Times New Roman"/>
          <w:sz w:val="24"/>
          <w:szCs w:val="24"/>
        </w:rPr>
        <w:t>ективна одговорност (обичајно право</w:t>
      </w:r>
      <w:r>
        <w:rPr>
          <w:rFonts w:ascii="Times New Roman" w:hAnsi="Times New Roman" w:cs="Times New Roman"/>
          <w:sz w:val="24"/>
          <w:szCs w:val="24"/>
        </w:rPr>
        <w:t>), али</w:t>
      </w:r>
      <w:r w:rsidR="004E2810">
        <w:rPr>
          <w:rFonts w:ascii="Times New Roman" w:hAnsi="Times New Roman" w:cs="Times New Roman"/>
          <w:sz w:val="24"/>
          <w:szCs w:val="24"/>
        </w:rPr>
        <w:t xml:space="preserve"> и одредбе о имовинским санк</w:t>
      </w:r>
      <w:r>
        <w:rPr>
          <w:rFonts w:ascii="Times New Roman" w:hAnsi="Times New Roman" w:cs="Times New Roman"/>
          <w:sz w:val="24"/>
          <w:szCs w:val="24"/>
        </w:rPr>
        <w:t>ц</w:t>
      </w:r>
      <w:r w:rsidR="004E2810">
        <w:rPr>
          <w:rFonts w:ascii="Times New Roman" w:hAnsi="Times New Roman" w:cs="Times New Roman"/>
          <w:sz w:val="24"/>
          <w:szCs w:val="24"/>
        </w:rPr>
        <w:t>и</w:t>
      </w:r>
      <w:r>
        <w:rPr>
          <w:rFonts w:ascii="Times New Roman" w:hAnsi="Times New Roman" w:cs="Times New Roman"/>
          <w:sz w:val="24"/>
          <w:szCs w:val="24"/>
        </w:rPr>
        <w:t>јама (иновација коју уводи законодавац)</w:t>
      </w:r>
      <w:r w:rsidR="004E2810">
        <w:rPr>
          <w:rFonts w:ascii="Times New Roman" w:hAnsi="Times New Roman" w:cs="Times New Roman"/>
          <w:sz w:val="24"/>
          <w:szCs w:val="24"/>
        </w:rPr>
        <w:t>;</w:t>
      </w:r>
    </w:p>
    <w:p w:rsidR="008A6BC5" w:rsidRPr="004E2810" w:rsidRDefault="008A6BC5" w:rsidP="0040743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 Не постоји разлика између приватноп</w:t>
      </w:r>
      <w:r w:rsidR="00774F64">
        <w:rPr>
          <w:rFonts w:ascii="Times New Roman" w:hAnsi="Times New Roman" w:cs="Times New Roman"/>
          <w:sz w:val="24"/>
          <w:szCs w:val="24"/>
          <w:lang/>
        </w:rPr>
        <w:t>р</w:t>
      </w:r>
      <w:r>
        <w:rPr>
          <w:rFonts w:ascii="Times New Roman" w:hAnsi="Times New Roman" w:cs="Times New Roman"/>
          <w:sz w:val="24"/>
          <w:szCs w:val="24"/>
        </w:rPr>
        <w:t xml:space="preserve">авног и јавноправног карактера казне – то значи да </w:t>
      </w:r>
      <w:r w:rsidR="00727B13">
        <w:rPr>
          <w:rFonts w:ascii="Times New Roman" w:hAnsi="Times New Roman" w:cs="Times New Roman"/>
          <w:sz w:val="24"/>
          <w:szCs w:val="24"/>
        </w:rPr>
        <w:t>се у низу случајева кажњавање по</w:t>
      </w:r>
      <w:r w:rsidR="004E2810">
        <w:rPr>
          <w:rFonts w:ascii="Times New Roman" w:hAnsi="Times New Roman" w:cs="Times New Roman"/>
          <w:sz w:val="24"/>
          <w:szCs w:val="24"/>
        </w:rPr>
        <w:t>чиниоца препушта вољи оштећеног;</w:t>
      </w:r>
    </w:p>
    <w:p w:rsidR="00727B13" w:rsidRPr="004E2810" w:rsidRDefault="00727B13" w:rsidP="0040743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 Оштра казнена политика – честа је смртна казна (у првих 30 чланова Хамурабијевог законика се и не помиње</w:t>
      </w:r>
      <w:r w:rsidR="004E2810">
        <w:rPr>
          <w:rFonts w:ascii="Times New Roman" w:hAnsi="Times New Roman" w:cs="Times New Roman"/>
          <w:sz w:val="24"/>
          <w:szCs w:val="24"/>
        </w:rPr>
        <w:t xml:space="preserve"> друга врста санкције осим ове);</w:t>
      </w:r>
    </w:p>
    <w:p w:rsidR="00727B13" w:rsidRPr="004E2810" w:rsidRDefault="00727B13" w:rsidP="0040743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Примењује се принцип објективне одговорности – неко је могао одговарати без обзира на то да ли је постојала кривица, да ли је дело извршено из нехата или са намером (примена овог принципа је доводила до апсурдних ситуација па је тако на смртну казну могло бити осуђено и др</w:t>
      </w:r>
      <w:r w:rsidR="004E2810">
        <w:rPr>
          <w:rFonts w:ascii="Times New Roman" w:hAnsi="Times New Roman" w:cs="Times New Roman"/>
          <w:sz w:val="24"/>
          <w:szCs w:val="24"/>
        </w:rPr>
        <w:t>во које би пало и убило некога);</w:t>
      </w:r>
    </w:p>
    <w:p w:rsidR="00727B13" w:rsidRDefault="00727B13"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5. Изражена правна неједнакост – припадници различитих друштвених слојева су различито кажњавани за исто кривично дело (да ли је кривично дело извршио авилум као припадник повлаштеног друштвеног сталежа или мушкену као припадник нижег друштвеног сталежа), а казна је зависила и од тога ко је жртва (да ли авилум или мушкену).</w:t>
      </w:r>
    </w:p>
    <w:p w:rsidR="00727B13" w:rsidRDefault="00727B13"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Кривична дела која су регулисана Хамурабијевим закоником су:</w:t>
      </w:r>
    </w:p>
    <w:p w:rsidR="00727B13" w:rsidRPr="004E2810" w:rsidRDefault="00B47A54"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 К</w:t>
      </w:r>
      <w:r w:rsidR="00727B13">
        <w:rPr>
          <w:rFonts w:ascii="Times New Roman" w:hAnsi="Times New Roman" w:cs="Times New Roman"/>
          <w:sz w:val="24"/>
          <w:szCs w:val="24"/>
        </w:rPr>
        <w:t xml:space="preserve">ривична дела против личности </w:t>
      </w:r>
      <w:r>
        <w:rPr>
          <w:rFonts w:ascii="Times New Roman" w:hAnsi="Times New Roman" w:cs="Times New Roman"/>
          <w:sz w:val="24"/>
          <w:szCs w:val="24"/>
        </w:rPr>
        <w:t>–</w:t>
      </w:r>
      <w:r w:rsidR="00727B13">
        <w:rPr>
          <w:rFonts w:ascii="Times New Roman" w:hAnsi="Times New Roman" w:cs="Times New Roman"/>
          <w:sz w:val="24"/>
          <w:szCs w:val="24"/>
        </w:rPr>
        <w:t xml:space="preserve"> убиство</w:t>
      </w:r>
      <w:r w:rsidR="004E2810">
        <w:rPr>
          <w:rFonts w:ascii="Times New Roman" w:hAnsi="Times New Roman" w:cs="Times New Roman"/>
          <w:sz w:val="24"/>
          <w:szCs w:val="24"/>
        </w:rPr>
        <w:t>, телесне повреде, силовање, увреда</w:t>
      </w:r>
    </w:p>
    <w:p w:rsidR="00B47A54" w:rsidRDefault="00B47A54"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Када је реч о убисту, Закоником се регулишу само специфични облици овог кривичног дела (нпр. када се сруши кућа због несолидне градње и убије некога). Телесне повреде су санкционисане најчешће путем талиона или имовинских казни.</w:t>
      </w:r>
    </w:p>
    <w:p w:rsidR="009618FB" w:rsidRPr="004E2810" w:rsidRDefault="009618FB"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 Криви</w:t>
      </w:r>
      <w:r w:rsidR="004E2810">
        <w:rPr>
          <w:rFonts w:ascii="Times New Roman" w:hAnsi="Times New Roman" w:cs="Times New Roman"/>
          <w:sz w:val="24"/>
          <w:szCs w:val="24"/>
        </w:rPr>
        <w:t>чна дела против имовине – крађа</w:t>
      </w:r>
    </w:p>
    <w:p w:rsidR="009618FB" w:rsidRDefault="009618FB"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Санкције за ово кривично дело су се кретале од имовинских до смртне казне у зависности од тежине случаја  и друштвеног статуса оштећеног.</w:t>
      </w:r>
    </w:p>
    <w:p w:rsidR="009618FB" w:rsidRDefault="009618FB"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4E2810">
        <w:rPr>
          <w:rFonts w:ascii="Times New Roman" w:hAnsi="Times New Roman" w:cs="Times New Roman"/>
          <w:sz w:val="24"/>
          <w:szCs w:val="24"/>
        </w:rPr>
        <w:t>. Кривична дела против државе</w:t>
      </w:r>
    </w:p>
    <w:p w:rsidR="004E2810" w:rsidRDefault="004E2810" w:rsidP="00727B13">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Закоником су регулисана само два случаја: уколико крчмарица не пријави заверенике и </w:t>
      </w:r>
      <w:r w:rsidR="00BB1F52">
        <w:rPr>
          <w:rFonts w:ascii="Times New Roman" w:hAnsi="Times New Roman" w:cs="Times New Roman"/>
          <w:sz w:val="24"/>
          <w:szCs w:val="24"/>
        </w:rPr>
        <w:t xml:space="preserve">уколико </w:t>
      </w:r>
      <w:r>
        <w:rPr>
          <w:rFonts w:ascii="Times New Roman" w:hAnsi="Times New Roman" w:cs="Times New Roman"/>
          <w:sz w:val="24"/>
          <w:szCs w:val="24"/>
        </w:rPr>
        <w:t>војник избегне одлазак у рат</w:t>
      </w:r>
      <w:r w:rsidR="00BB1F52">
        <w:rPr>
          <w:rFonts w:ascii="Times New Roman" w:hAnsi="Times New Roman" w:cs="Times New Roman"/>
          <w:sz w:val="24"/>
          <w:szCs w:val="24"/>
        </w:rPr>
        <w:t xml:space="preserve"> (дезертер). За оба случаја је била прописана</w:t>
      </w:r>
      <w:r>
        <w:rPr>
          <w:rFonts w:ascii="Times New Roman" w:hAnsi="Times New Roman" w:cs="Times New Roman"/>
          <w:sz w:val="24"/>
          <w:szCs w:val="24"/>
        </w:rPr>
        <w:t xml:space="preserve"> смртн</w:t>
      </w:r>
      <w:r w:rsidR="00BB1F52">
        <w:rPr>
          <w:rFonts w:ascii="Times New Roman" w:hAnsi="Times New Roman" w:cs="Times New Roman"/>
          <w:sz w:val="24"/>
          <w:szCs w:val="24"/>
        </w:rPr>
        <w:t>а</w:t>
      </w:r>
      <w:r>
        <w:rPr>
          <w:rFonts w:ascii="Times New Roman" w:hAnsi="Times New Roman" w:cs="Times New Roman"/>
          <w:sz w:val="24"/>
          <w:szCs w:val="24"/>
        </w:rPr>
        <w:t xml:space="preserve"> казн</w:t>
      </w:r>
      <w:r w:rsidR="00BB1F52">
        <w:rPr>
          <w:rFonts w:ascii="Times New Roman" w:hAnsi="Times New Roman" w:cs="Times New Roman"/>
          <w:sz w:val="24"/>
          <w:szCs w:val="24"/>
        </w:rPr>
        <w:t>а</w:t>
      </w:r>
      <w:r>
        <w:rPr>
          <w:rFonts w:ascii="Times New Roman" w:hAnsi="Times New Roman" w:cs="Times New Roman"/>
          <w:sz w:val="24"/>
          <w:szCs w:val="24"/>
        </w:rPr>
        <w:t>.</w:t>
      </w:r>
    </w:p>
    <w:p w:rsidR="004E2810" w:rsidRPr="004E2810" w:rsidRDefault="004E2810" w:rsidP="004E2810">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4. Кривична дела против породичног морала и интегритета – инцест, прељуба</w:t>
      </w:r>
    </w:p>
    <w:sectPr w:rsidR="004E2810" w:rsidRPr="004E2810" w:rsidSect="004E4F65">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9EC" w:rsidRDefault="004529EC" w:rsidP="008A6BC5">
      <w:pPr>
        <w:spacing w:after="0" w:line="240" w:lineRule="auto"/>
      </w:pPr>
      <w:r>
        <w:separator/>
      </w:r>
    </w:p>
  </w:endnote>
  <w:endnote w:type="continuationSeparator" w:id="1">
    <w:p w:rsidR="004529EC" w:rsidRDefault="004529EC" w:rsidP="008A6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909"/>
      <w:docPartObj>
        <w:docPartGallery w:val="Page Numbers (Bottom of Page)"/>
        <w:docPartUnique/>
      </w:docPartObj>
    </w:sdtPr>
    <w:sdtContent>
      <w:p w:rsidR="00727B13" w:rsidRDefault="0019477A">
        <w:pPr>
          <w:pStyle w:val="Footer"/>
          <w:jc w:val="center"/>
        </w:pPr>
        <w:fldSimple w:instr=" PAGE   \* MERGEFORMAT ">
          <w:r w:rsidR="00774F64">
            <w:rPr>
              <w:noProof/>
            </w:rPr>
            <w:t>1</w:t>
          </w:r>
        </w:fldSimple>
      </w:p>
    </w:sdtContent>
  </w:sdt>
  <w:p w:rsidR="00727B13" w:rsidRDefault="00727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9EC" w:rsidRDefault="004529EC" w:rsidP="008A6BC5">
      <w:pPr>
        <w:spacing w:after="0" w:line="240" w:lineRule="auto"/>
      </w:pPr>
      <w:r>
        <w:separator/>
      </w:r>
    </w:p>
  </w:footnote>
  <w:footnote w:type="continuationSeparator" w:id="1">
    <w:p w:rsidR="004529EC" w:rsidRDefault="004529EC" w:rsidP="008A6B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743E"/>
    <w:rsid w:val="000448DC"/>
    <w:rsid w:val="0019477A"/>
    <w:rsid w:val="0040743E"/>
    <w:rsid w:val="004529EC"/>
    <w:rsid w:val="004E2810"/>
    <w:rsid w:val="004E4F65"/>
    <w:rsid w:val="006B3368"/>
    <w:rsid w:val="00727B13"/>
    <w:rsid w:val="00774F64"/>
    <w:rsid w:val="008A6BC5"/>
    <w:rsid w:val="009618FB"/>
    <w:rsid w:val="00B47A54"/>
    <w:rsid w:val="00BB1F52"/>
    <w:rsid w:val="00EB0DE3"/>
    <w:rsid w:val="00F15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B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BC5"/>
  </w:style>
  <w:style w:type="paragraph" w:styleId="Footer">
    <w:name w:val="footer"/>
    <w:basedOn w:val="Normal"/>
    <w:link w:val="FooterChar"/>
    <w:uiPriority w:val="99"/>
    <w:unhideWhenUsed/>
    <w:rsid w:val="008A6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dcterms:created xsi:type="dcterms:W3CDTF">2020-03-24T08:29:00Z</dcterms:created>
  <dcterms:modified xsi:type="dcterms:W3CDTF">2020-03-30T10:34:00Z</dcterms:modified>
</cp:coreProperties>
</file>